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9EBF9" w14:textId="5161A9A6" w:rsidR="00635D13" w:rsidRPr="001A7690" w:rsidRDefault="00635D13" w:rsidP="00DC0529">
      <w:pPr>
        <w:tabs>
          <w:tab w:val="num" w:pos="426"/>
          <w:tab w:val="num" w:pos="9291"/>
        </w:tabs>
        <w:autoSpaceDE w:val="0"/>
        <w:autoSpaceDN w:val="0"/>
        <w:adjustRightInd w:val="0"/>
        <w:spacing w:after="0" w:line="360" w:lineRule="auto"/>
        <w:ind w:left="425" w:hanging="284"/>
        <w:jc w:val="center"/>
        <w:rPr>
          <w:rFonts w:ascii="Times New Roman" w:hAnsi="Times New Roman" w:cs="Times New Roman"/>
          <w:b/>
          <w:bCs/>
          <w:sz w:val="28"/>
          <w:szCs w:val="28"/>
        </w:rPr>
      </w:pPr>
      <w:r w:rsidRPr="001A7690">
        <w:rPr>
          <w:rFonts w:ascii="Times New Roman" w:hAnsi="Times New Roman" w:cs="Times New Roman"/>
          <w:b/>
          <w:bCs/>
          <w:sz w:val="28"/>
          <w:szCs w:val="28"/>
        </w:rPr>
        <w:t>Regulamin BHP sali ćwiczeń Zakładu Biochemii Farmaceutycznej</w:t>
      </w:r>
    </w:p>
    <w:p w14:paraId="37AED664" w14:textId="77777777" w:rsidR="00635D13" w:rsidRPr="00C95700" w:rsidRDefault="00635D13" w:rsidP="00DC0529">
      <w:pPr>
        <w:tabs>
          <w:tab w:val="num" w:pos="426"/>
          <w:tab w:val="num" w:pos="9291"/>
        </w:tabs>
        <w:autoSpaceDE w:val="0"/>
        <w:autoSpaceDN w:val="0"/>
        <w:adjustRightInd w:val="0"/>
        <w:spacing w:after="0" w:line="360" w:lineRule="auto"/>
        <w:ind w:left="426" w:hanging="284"/>
        <w:jc w:val="center"/>
        <w:rPr>
          <w:rFonts w:ascii="Times New Roman" w:hAnsi="Times New Roman" w:cs="Times New Roman"/>
        </w:rPr>
      </w:pPr>
    </w:p>
    <w:p w14:paraId="36237629"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W pracowni, laboratorium mogą przebywać studenci po uzyskaniu zgody opiekuna i w jego obecności. Obowiązuje zasada korzystania zawsze z tych samych miejsc oraz obowiązek utrzymania ładu i czystości w pracowni.</w:t>
      </w:r>
    </w:p>
    <w:p w14:paraId="0978C163"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Przed przystąpieniem do wykonania doświadczenia chemicznego studenci muszą się dokładnie zapoznać z opisem jego przebiegu oraz kartą charakterystyki używanych substancji. </w:t>
      </w:r>
    </w:p>
    <w:p w14:paraId="789FB92B"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Ćwiczenia należy przeprowadzać z zachowaniem wskazanych przez prowadzącego środków ostrożności tak, aby nie narazić na niebezpieczeństwo siebie i innych. Wykonywanie kolejnych elementów ćwiczenia, uruchomienie przyrządów może nastąpić tylko na polecenie nauczyciela. </w:t>
      </w:r>
    </w:p>
    <w:p w14:paraId="228FAE65"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Naczynia z chemikaliami należy zaraz po użyciu zamknąć właściwym korkiem.  Nie wolno dopuścić do pomieszania chemikaliów. </w:t>
      </w:r>
    </w:p>
    <w:p w14:paraId="7D221142"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Pobrane odczynniki, szkło i przyrządy należy po zakończeniu ćwiczeń odnieść na właściwe miejsce w stanie czystym. Każde uszkodzenie sprzętu, szkła musi być zgłoszone opiekunowi.  </w:t>
      </w:r>
    </w:p>
    <w:p w14:paraId="1EFD1680"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Nie wolno wrzucać do zlewów stłuczonego szkła i substancji stałych - może to spowodować zapchanie przewodów kanalizacyjnych. </w:t>
      </w:r>
    </w:p>
    <w:p w14:paraId="6E54FA59" w14:textId="77777777" w:rsidR="00635D13" w:rsidRPr="00C95700" w:rsidRDefault="00635D13" w:rsidP="00DC0529">
      <w:pPr>
        <w:autoSpaceDE w:val="0"/>
        <w:autoSpaceDN w:val="0"/>
        <w:adjustRightInd w:val="0"/>
        <w:spacing w:after="0" w:line="360" w:lineRule="auto"/>
        <w:ind w:left="567"/>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Nie należy wrzucać do koszy resztek niebezpiecznych substancji, ale zbierać je do pojemników przeznaczonych na ten cel. </w:t>
      </w:r>
    </w:p>
    <w:p w14:paraId="4D151DF8"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Nie wolno wynosić z pracowni żadnych odczynników chemicznych.</w:t>
      </w:r>
    </w:p>
    <w:p w14:paraId="3E2B93D4"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Podczas wykonywania ćwiczeń w pracowni chemicznej zobowiązuje się studentów do ścisłego przestrzegania przepisów bezpieczeństwa.</w:t>
      </w:r>
    </w:p>
    <w:p w14:paraId="28D2F29A"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284"/>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Pamiętaj, że prawie wszystkie substancje w pracowni chemicznej należy traktować jako mniej lub bardziej szkodliwe. Bez polecenia nauczyciela nie wolno smakować czy wąchać badanych substancji. Przy poleceniu powąchania danej substancji należy skierować pary substancji do siebie ruchem wachlującym ręki - nie wolno tego robić poprzez zbliżenie wąchanej substancji do nosa.  </w:t>
      </w:r>
    </w:p>
    <w:p w14:paraId="3FB1B578" w14:textId="77777777" w:rsidR="00635D13" w:rsidRPr="00C95700" w:rsidRDefault="00635D13" w:rsidP="00DC0529">
      <w:pPr>
        <w:numPr>
          <w:ilvl w:val="0"/>
          <w:numId w:val="1"/>
        </w:numPr>
        <w:tabs>
          <w:tab w:val="num" w:pos="426"/>
        </w:tabs>
        <w:autoSpaceDE w:val="0"/>
        <w:autoSpaceDN w:val="0"/>
        <w:adjustRightInd w:val="0"/>
        <w:spacing w:after="0" w:line="360" w:lineRule="auto"/>
        <w:ind w:left="425" w:hanging="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Pracownia chemiczna jest pracownią, w której przy wykonywaniu doświadczeń może wystąpić szczególnie dużo zagrożeń – dlatego należy zachować zwiększoną ostrożność. Niedostateczne zaznajomienie się z przyrządami i właściwościami substancji, z którymi się pracuje, każda nieuwaga może spowodować nieszczęśliwy wypadek. </w:t>
      </w:r>
    </w:p>
    <w:p w14:paraId="1F8B86ED"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Szczególną ostrożność należy zachować:</w:t>
      </w:r>
    </w:p>
    <w:p w14:paraId="46C3ECC4" w14:textId="77777777" w:rsidR="00635D13" w:rsidRPr="00C95700" w:rsidRDefault="00635D13" w:rsidP="00DC0529">
      <w:pPr>
        <w:numPr>
          <w:ilvl w:val="0"/>
          <w:numId w:val="2"/>
        </w:numPr>
        <w:autoSpaceDE w:val="0"/>
        <w:autoSpaceDN w:val="0"/>
        <w:adjustRightInd w:val="0"/>
        <w:spacing w:after="0" w:line="360" w:lineRule="auto"/>
        <w:ind w:left="993"/>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przy pracach z substancjami żrącymi (np. stężone kwasy i ługi ) - gdyż może dojść do poparzeń, zniszczenia odzieży,</w:t>
      </w:r>
    </w:p>
    <w:p w14:paraId="655EFDA8" w14:textId="77777777" w:rsidR="00635D13" w:rsidRPr="00C95700" w:rsidRDefault="00635D13" w:rsidP="00DC0529">
      <w:pPr>
        <w:numPr>
          <w:ilvl w:val="0"/>
          <w:numId w:val="2"/>
        </w:numPr>
        <w:autoSpaceDE w:val="0"/>
        <w:autoSpaceDN w:val="0"/>
        <w:adjustRightInd w:val="0"/>
        <w:spacing w:after="0" w:line="360" w:lineRule="auto"/>
        <w:ind w:left="993"/>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podczas pracy z palnikiem i substancjami łatwopalnymi. Przy zapalaniu palników należy najpierw zapalić zapałkę lub świecę gazową, a dopiero wtedy otworzyć kurek gazowy. </w:t>
      </w:r>
    </w:p>
    <w:p w14:paraId="083609CD"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W czasie wykonywania jakichkolwiek prac w kontakcie z odczynnikami chemicznymi należy przede wszystkim zadbać o zabezpieczenie oczu - stosować okulary ochronne.</w:t>
      </w:r>
    </w:p>
    <w:p w14:paraId="1C22A2F0"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Nie należy wykonywać ćwiczeń w brudnych naczyniach. </w:t>
      </w:r>
    </w:p>
    <w:p w14:paraId="77D1A421"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lastRenderedPageBreak/>
        <w:t xml:space="preserve">Nie pochylać się nad naczyniem, w którym coś wrze lub do którego wlewa się ciecz, a szczególnie ciecz żrącą. Nie wolno dopuszczać do dużego wzrostu ciśnienia wewnątrz naczynia – ponieważ może to doprowadzić do niekontrolowanego  wybuchu. </w:t>
      </w:r>
    </w:p>
    <w:p w14:paraId="4092891D" w14:textId="77777777" w:rsidR="00635D13" w:rsidRPr="00C95700" w:rsidRDefault="00635D13" w:rsidP="00DC0529">
      <w:p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Probówkę, w której ogrzewa się ciecz, kierować otworem w bok (nie do siebie, ale i nie w stronę sąsiada). Przy podgrzewaniu substancji w próbówce nie wolno podgrzewać próbówki w jednym punkcie, ale wykonywać podgrzanie na większej powierzchni. </w:t>
      </w:r>
    </w:p>
    <w:p w14:paraId="50A2F294"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Ćwiczenia należy wykonywać zgodnie z zaleceniami podręcznika i nauczyciela. </w:t>
      </w:r>
    </w:p>
    <w:p w14:paraId="1640F7D4"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Nie wolno używać uszkodzonych przyrządów, nadtłuczonych lub pękniętych naczyń szklanych i porcelanowych. </w:t>
      </w:r>
    </w:p>
    <w:p w14:paraId="55702E3F"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Ćwiczenia z substancjami, które są szczególnie szkodliwe dla zdrowia i niebezpieczne należy wykonywać pod wyciągiem na polecenie i według instrukcji nauczyciela.  </w:t>
      </w:r>
    </w:p>
    <w:p w14:paraId="4BAB037F" w14:textId="77777777" w:rsidR="00635D13" w:rsidRPr="00C95700"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Zabronione jest używanie naczyń laboratoryjnych jako przedmiotów służących do picia. Zabronione jest także spożywanie posiłków w pracowni chemicznej. </w:t>
      </w:r>
    </w:p>
    <w:p w14:paraId="7AB20C74" w14:textId="77777777" w:rsidR="00635D13" w:rsidRDefault="00635D13" w:rsidP="00DC0529">
      <w:pPr>
        <w:numPr>
          <w:ilvl w:val="0"/>
          <w:numId w:val="1"/>
        </w:numPr>
        <w:tabs>
          <w:tab w:val="num" w:pos="426"/>
        </w:tabs>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Przy opuszczeniu miejsca pracy, należy go uporządkować, pamiętając o umyciu rąk po zakończonej pracy.</w:t>
      </w:r>
    </w:p>
    <w:p w14:paraId="4B1B0FD9" w14:textId="77777777" w:rsidR="00C95700" w:rsidRPr="00C95700" w:rsidRDefault="00C95700" w:rsidP="00DC0529">
      <w:pPr>
        <w:autoSpaceDE w:val="0"/>
        <w:autoSpaceDN w:val="0"/>
        <w:adjustRightInd w:val="0"/>
        <w:spacing w:after="0" w:line="360" w:lineRule="auto"/>
        <w:ind w:left="426"/>
        <w:jc w:val="both"/>
        <w:rPr>
          <w:rFonts w:ascii="Times New Roman" w:eastAsia="Times New Roman" w:hAnsi="Times New Roman" w:cs="Times New Roman"/>
          <w:color w:val="000000"/>
          <w:kern w:val="0"/>
          <w:lang w:eastAsia="pl-PL"/>
          <w14:ligatures w14:val="none"/>
        </w:rPr>
      </w:pPr>
    </w:p>
    <w:p w14:paraId="346B26E3" w14:textId="4DC40D72" w:rsidR="00635D13" w:rsidRDefault="00635D13" w:rsidP="00DC0529">
      <w:pPr>
        <w:autoSpaceDE w:val="0"/>
        <w:autoSpaceDN w:val="0"/>
        <w:adjustRightInd w:val="0"/>
        <w:spacing w:after="0" w:line="360" w:lineRule="auto"/>
        <w:jc w:val="both"/>
        <w:rPr>
          <w:rFonts w:ascii="Times New Roman" w:eastAsia="Times New Roman" w:hAnsi="Times New Roman" w:cs="Times New Roman"/>
          <w:b/>
          <w:bCs/>
          <w:i/>
          <w:color w:val="000000"/>
          <w:kern w:val="0"/>
          <w:lang w:eastAsia="pl-PL"/>
          <w14:ligatures w14:val="none"/>
        </w:rPr>
      </w:pPr>
      <w:r w:rsidRPr="00C95700">
        <w:rPr>
          <w:rFonts w:ascii="Times New Roman" w:eastAsia="Times New Roman" w:hAnsi="Times New Roman" w:cs="Times New Roman"/>
          <w:b/>
          <w:bCs/>
          <w:i/>
          <w:color w:val="000000"/>
          <w:kern w:val="0"/>
          <w:lang w:eastAsia="pl-PL"/>
          <w14:ligatures w14:val="none"/>
        </w:rPr>
        <w:t>Zachowanie się studenta w razie wystąpienia wypadku:</w:t>
      </w:r>
    </w:p>
    <w:p w14:paraId="6182F34B" w14:textId="77777777" w:rsidR="00415889" w:rsidRPr="00C95700" w:rsidRDefault="00415889" w:rsidP="00DC0529">
      <w:pPr>
        <w:autoSpaceDE w:val="0"/>
        <w:autoSpaceDN w:val="0"/>
        <w:adjustRightInd w:val="0"/>
        <w:spacing w:after="0" w:line="360" w:lineRule="auto"/>
        <w:jc w:val="both"/>
        <w:rPr>
          <w:rFonts w:ascii="Times New Roman" w:eastAsia="Times New Roman" w:hAnsi="Times New Roman" w:cs="Times New Roman"/>
          <w:b/>
          <w:i/>
          <w:color w:val="000000"/>
          <w:kern w:val="0"/>
          <w:lang w:eastAsia="pl-PL"/>
          <w14:ligatures w14:val="none"/>
        </w:rPr>
      </w:pPr>
    </w:p>
    <w:p w14:paraId="0AF4B886" w14:textId="7544A793" w:rsidR="00635D13" w:rsidRDefault="00635D13" w:rsidP="00DC0529">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u w:val="single"/>
          <w:lang w:eastAsia="pl-PL"/>
          <w14:ligatures w14:val="none"/>
        </w:rPr>
        <w:t>Przy zatruciach przez skórę</w:t>
      </w:r>
      <w:r w:rsidRPr="00C95700">
        <w:rPr>
          <w:rFonts w:ascii="Times New Roman" w:eastAsia="Times New Roman" w:hAnsi="Times New Roman" w:cs="Times New Roman"/>
          <w:color w:val="000000"/>
          <w:kern w:val="0"/>
          <w:lang w:eastAsia="pl-PL"/>
          <w14:ligatures w14:val="none"/>
        </w:rPr>
        <w:t>:  usunąć odzież z miejsca urazu, zmyć skórę strumieniem zimnej wody tak, by nie skazić zdrowych części ciała. Skierować poszkodowanego do lekarza.</w:t>
      </w:r>
    </w:p>
    <w:p w14:paraId="135DA20B" w14:textId="77777777" w:rsidR="00415889" w:rsidRPr="00C95700" w:rsidRDefault="00415889" w:rsidP="00DC0529">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p>
    <w:p w14:paraId="6957A087" w14:textId="77777777" w:rsidR="00635D13" w:rsidRDefault="00635D13" w:rsidP="00DC0529">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u w:val="single"/>
          <w:lang w:eastAsia="pl-PL"/>
          <w14:ligatures w14:val="none"/>
        </w:rPr>
        <w:t>Przy zatruciach drogą pokarmową</w:t>
      </w:r>
      <w:r w:rsidRPr="00C95700">
        <w:rPr>
          <w:rFonts w:ascii="Times New Roman" w:eastAsia="Times New Roman" w:hAnsi="Times New Roman" w:cs="Times New Roman"/>
          <w:color w:val="000000"/>
          <w:kern w:val="0"/>
          <w:lang w:eastAsia="pl-PL"/>
          <w14:ligatures w14:val="none"/>
        </w:rPr>
        <w:t>:  usunąć truciznę z żołądka przez spowodowanie wymiotów przez podrażnienie palcem tylnej ściany gardła lub podać szklankę bardzo słonej wody.</w:t>
      </w:r>
    </w:p>
    <w:p w14:paraId="4405767E" w14:textId="77777777" w:rsidR="00415889" w:rsidRPr="00C95700" w:rsidRDefault="00415889" w:rsidP="00DC0529">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p>
    <w:p w14:paraId="2A16E5BC" w14:textId="65DDB872" w:rsidR="00635D13" w:rsidRDefault="00635D13" w:rsidP="00DC0529">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 xml:space="preserve">Po ustąpieniu wymiotów podać odtrutkę np. zwykłą wodę (która rozcieńcza i zobojętnia truciznę), zawiesinę węgla aktywowanego. Ponownie spróbować spowodować wymioty. </w:t>
      </w:r>
    </w:p>
    <w:p w14:paraId="233FCB74" w14:textId="77777777" w:rsidR="00415889" w:rsidRPr="00C95700" w:rsidRDefault="00415889" w:rsidP="00DC0529">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p>
    <w:p w14:paraId="73F51B10" w14:textId="246940BD" w:rsidR="00817E42" w:rsidRPr="00C95700" w:rsidRDefault="00635D13" w:rsidP="00DC0529">
      <w:pPr>
        <w:autoSpaceDE w:val="0"/>
        <w:autoSpaceDN w:val="0"/>
        <w:adjustRightInd w:val="0"/>
        <w:spacing w:after="0" w:line="360" w:lineRule="auto"/>
        <w:jc w:val="both"/>
        <w:rPr>
          <w:rFonts w:ascii="Times New Roman" w:eastAsia="Times New Roman" w:hAnsi="Times New Roman" w:cs="Times New Roman"/>
          <w:color w:val="000000"/>
          <w:kern w:val="0"/>
          <w:lang w:eastAsia="pl-PL"/>
          <w14:ligatures w14:val="none"/>
        </w:rPr>
      </w:pPr>
      <w:r w:rsidRPr="00C95700">
        <w:rPr>
          <w:rFonts w:ascii="Times New Roman" w:eastAsia="Times New Roman" w:hAnsi="Times New Roman" w:cs="Times New Roman"/>
          <w:color w:val="000000"/>
          <w:kern w:val="0"/>
          <w:lang w:eastAsia="pl-PL"/>
          <w14:ligatures w14:val="none"/>
        </w:rPr>
        <w:t>UWAGA!!! Przy udzielaniu pomocy zawsze stosować się do wskazówek zawartych karcie charakterystyki danej substancji chemicznej.</w:t>
      </w:r>
    </w:p>
    <w:p w14:paraId="59C226D6" w14:textId="77777777" w:rsidR="00C95700" w:rsidRDefault="00C95700" w:rsidP="00DC0529">
      <w:pPr>
        <w:spacing w:after="0" w:line="360" w:lineRule="auto"/>
        <w:rPr>
          <w:rFonts w:ascii="Times New Roman" w:hAnsi="Times New Roman" w:cs="Times New Roman"/>
        </w:rPr>
      </w:pPr>
    </w:p>
    <w:p w14:paraId="5A8B48A7" w14:textId="77777777" w:rsidR="00AF6529" w:rsidRDefault="00AF6529" w:rsidP="00DC0529">
      <w:pPr>
        <w:spacing w:after="0" w:line="360" w:lineRule="auto"/>
        <w:rPr>
          <w:rFonts w:ascii="Times New Roman" w:hAnsi="Times New Roman" w:cs="Times New Roman"/>
        </w:rPr>
      </w:pPr>
    </w:p>
    <w:p w14:paraId="3DF90E9E" w14:textId="77777777" w:rsidR="00AF6529" w:rsidRDefault="00AF6529" w:rsidP="00DC0529">
      <w:pPr>
        <w:spacing w:after="0" w:line="360" w:lineRule="auto"/>
        <w:rPr>
          <w:rFonts w:ascii="Times New Roman" w:hAnsi="Times New Roman" w:cs="Times New Roman"/>
        </w:rPr>
      </w:pPr>
    </w:p>
    <w:p w14:paraId="5E60B228" w14:textId="77777777" w:rsidR="00AF6529" w:rsidRDefault="00AF6529" w:rsidP="00DC0529">
      <w:pPr>
        <w:spacing w:after="0" w:line="360" w:lineRule="auto"/>
        <w:rPr>
          <w:rFonts w:ascii="Times New Roman" w:hAnsi="Times New Roman" w:cs="Times New Roman"/>
        </w:rPr>
      </w:pPr>
    </w:p>
    <w:p w14:paraId="0AFFA9AB" w14:textId="77777777" w:rsidR="00AF6529" w:rsidRDefault="00AF6529" w:rsidP="00DC0529">
      <w:pPr>
        <w:spacing w:after="0" w:line="360" w:lineRule="auto"/>
        <w:rPr>
          <w:rFonts w:ascii="Times New Roman" w:hAnsi="Times New Roman" w:cs="Times New Roman"/>
        </w:rPr>
      </w:pPr>
    </w:p>
    <w:p w14:paraId="1FCBEF50" w14:textId="77777777" w:rsidR="00AF6529" w:rsidRDefault="00AF6529" w:rsidP="00DC0529">
      <w:pPr>
        <w:spacing w:after="0" w:line="360" w:lineRule="auto"/>
        <w:rPr>
          <w:rFonts w:ascii="Times New Roman" w:hAnsi="Times New Roman" w:cs="Times New Roman"/>
        </w:rPr>
      </w:pPr>
    </w:p>
    <w:p w14:paraId="749D18DF" w14:textId="77777777" w:rsidR="00AF6529" w:rsidRDefault="00AF6529" w:rsidP="00DC0529">
      <w:pPr>
        <w:spacing w:after="0" w:line="360" w:lineRule="auto"/>
        <w:rPr>
          <w:rFonts w:ascii="Times New Roman" w:hAnsi="Times New Roman" w:cs="Times New Roman"/>
        </w:rPr>
      </w:pPr>
    </w:p>
    <w:p w14:paraId="033DEF8F" w14:textId="77777777" w:rsidR="00AF6529" w:rsidRDefault="00AF6529" w:rsidP="00DC0529">
      <w:pPr>
        <w:spacing w:after="0" w:line="360" w:lineRule="auto"/>
        <w:rPr>
          <w:rFonts w:ascii="Times New Roman" w:hAnsi="Times New Roman" w:cs="Times New Roman"/>
        </w:rPr>
      </w:pPr>
    </w:p>
    <w:p w14:paraId="182DD2CB" w14:textId="78E2E92F" w:rsidR="00635D13" w:rsidRPr="00415889" w:rsidRDefault="00635D13" w:rsidP="00AF6529">
      <w:pPr>
        <w:spacing w:after="0" w:line="240" w:lineRule="auto"/>
        <w:rPr>
          <w:rFonts w:ascii="Times New Roman" w:hAnsi="Times New Roman" w:cs="Times New Roman"/>
          <w:sz w:val="20"/>
          <w:szCs w:val="20"/>
        </w:rPr>
      </w:pPr>
      <w:r w:rsidRPr="00415889">
        <w:rPr>
          <w:rFonts w:ascii="Times New Roman" w:hAnsi="Times New Roman" w:cs="Times New Roman"/>
          <w:sz w:val="20"/>
          <w:szCs w:val="20"/>
        </w:rPr>
        <w:t>Opracowane na podstawie przykład</w:t>
      </w:r>
      <w:r w:rsidR="00C95700" w:rsidRPr="00415889">
        <w:rPr>
          <w:rFonts w:ascii="Times New Roman" w:hAnsi="Times New Roman" w:cs="Times New Roman"/>
          <w:sz w:val="20"/>
          <w:szCs w:val="20"/>
        </w:rPr>
        <w:t>owych</w:t>
      </w:r>
      <w:r w:rsidRPr="00415889">
        <w:rPr>
          <w:rFonts w:ascii="Times New Roman" w:hAnsi="Times New Roman" w:cs="Times New Roman"/>
          <w:sz w:val="20"/>
          <w:szCs w:val="20"/>
        </w:rPr>
        <w:t xml:space="preserve"> instrukcji i regulaminów umieszczonych na stronie </w:t>
      </w:r>
      <w:r w:rsidR="00C95700" w:rsidRPr="00415889">
        <w:rPr>
          <w:rFonts w:ascii="Times New Roman" w:hAnsi="Times New Roman" w:cs="Times New Roman"/>
          <w:sz w:val="20"/>
          <w:szCs w:val="20"/>
        </w:rPr>
        <w:t xml:space="preserve">internetowej </w:t>
      </w:r>
      <w:r w:rsidRPr="00415889">
        <w:rPr>
          <w:rFonts w:ascii="Times New Roman" w:hAnsi="Times New Roman" w:cs="Times New Roman"/>
          <w:sz w:val="20"/>
          <w:szCs w:val="20"/>
        </w:rPr>
        <w:t>Inspektorat</w:t>
      </w:r>
      <w:r w:rsidR="00C95700" w:rsidRPr="00415889">
        <w:rPr>
          <w:rFonts w:ascii="Times New Roman" w:hAnsi="Times New Roman" w:cs="Times New Roman"/>
          <w:sz w:val="20"/>
          <w:szCs w:val="20"/>
        </w:rPr>
        <w:t>u</w:t>
      </w:r>
      <w:r w:rsidRPr="00415889">
        <w:rPr>
          <w:rFonts w:ascii="Times New Roman" w:hAnsi="Times New Roman" w:cs="Times New Roman"/>
          <w:sz w:val="20"/>
          <w:szCs w:val="20"/>
        </w:rPr>
        <w:t xml:space="preserve"> BHP i Ochrony Przeciwpożarowej</w:t>
      </w:r>
      <w:r w:rsidR="00DC0529">
        <w:rPr>
          <w:rFonts w:ascii="Times New Roman" w:hAnsi="Times New Roman" w:cs="Times New Roman"/>
          <w:sz w:val="20"/>
          <w:szCs w:val="20"/>
        </w:rPr>
        <w:t xml:space="preserve"> UJ CM</w:t>
      </w:r>
      <w:r w:rsidRPr="00415889">
        <w:rPr>
          <w:rFonts w:ascii="Times New Roman" w:hAnsi="Times New Roman" w:cs="Times New Roman"/>
          <w:sz w:val="20"/>
          <w:szCs w:val="20"/>
        </w:rPr>
        <w:t>.</w:t>
      </w:r>
    </w:p>
    <w:sectPr w:rsidR="00635D13" w:rsidRPr="00415889" w:rsidSect="00DC0529">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2B3C"/>
    <w:multiLevelType w:val="hybridMultilevel"/>
    <w:tmpl w:val="A34065C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6FCA5F7F"/>
    <w:multiLevelType w:val="hybridMultilevel"/>
    <w:tmpl w:val="FB06CA84"/>
    <w:lvl w:ilvl="0" w:tplc="0415000F">
      <w:start w:val="1"/>
      <w:numFmt w:val="decimal"/>
      <w:lvlText w:val="%1."/>
      <w:lvlJc w:val="left"/>
      <w:pPr>
        <w:tabs>
          <w:tab w:val="num" w:pos="9291"/>
        </w:tabs>
        <w:ind w:left="9291" w:hanging="360"/>
      </w:pPr>
    </w:lvl>
    <w:lvl w:ilvl="1" w:tplc="28B2871A">
      <w:numFmt w:val="bullet"/>
      <w:lvlText w:val="-"/>
      <w:lvlJc w:val="left"/>
      <w:pPr>
        <w:tabs>
          <w:tab w:val="num" w:pos="9764"/>
        </w:tabs>
        <w:ind w:left="9764" w:hanging="113"/>
      </w:pPr>
      <w:rPr>
        <w:rFonts w:ascii="Times New Roman" w:eastAsia="Times New Roman" w:hAnsi="Times New Roman" w:cs="Times New Roman" w:hint="default"/>
      </w:rPr>
    </w:lvl>
    <w:lvl w:ilvl="2" w:tplc="0415001B">
      <w:start w:val="1"/>
      <w:numFmt w:val="lowerRoman"/>
      <w:lvlText w:val="%3."/>
      <w:lvlJc w:val="right"/>
      <w:pPr>
        <w:tabs>
          <w:tab w:val="num" w:pos="10731"/>
        </w:tabs>
        <w:ind w:left="10731" w:hanging="180"/>
      </w:pPr>
    </w:lvl>
    <w:lvl w:ilvl="3" w:tplc="0415000F" w:tentative="1">
      <w:start w:val="1"/>
      <w:numFmt w:val="decimal"/>
      <w:lvlText w:val="%4."/>
      <w:lvlJc w:val="left"/>
      <w:pPr>
        <w:tabs>
          <w:tab w:val="num" w:pos="11451"/>
        </w:tabs>
        <w:ind w:left="11451" w:hanging="360"/>
      </w:pPr>
    </w:lvl>
    <w:lvl w:ilvl="4" w:tplc="04150019" w:tentative="1">
      <w:start w:val="1"/>
      <w:numFmt w:val="lowerLetter"/>
      <w:lvlText w:val="%5."/>
      <w:lvlJc w:val="left"/>
      <w:pPr>
        <w:tabs>
          <w:tab w:val="num" w:pos="12171"/>
        </w:tabs>
        <w:ind w:left="12171" w:hanging="360"/>
      </w:pPr>
    </w:lvl>
    <w:lvl w:ilvl="5" w:tplc="0415001B" w:tentative="1">
      <w:start w:val="1"/>
      <w:numFmt w:val="lowerRoman"/>
      <w:lvlText w:val="%6."/>
      <w:lvlJc w:val="right"/>
      <w:pPr>
        <w:tabs>
          <w:tab w:val="num" w:pos="12891"/>
        </w:tabs>
        <w:ind w:left="12891" w:hanging="180"/>
      </w:pPr>
    </w:lvl>
    <w:lvl w:ilvl="6" w:tplc="0415000F" w:tentative="1">
      <w:start w:val="1"/>
      <w:numFmt w:val="decimal"/>
      <w:lvlText w:val="%7."/>
      <w:lvlJc w:val="left"/>
      <w:pPr>
        <w:tabs>
          <w:tab w:val="num" w:pos="13611"/>
        </w:tabs>
        <w:ind w:left="13611" w:hanging="360"/>
      </w:pPr>
    </w:lvl>
    <w:lvl w:ilvl="7" w:tplc="04150019" w:tentative="1">
      <w:start w:val="1"/>
      <w:numFmt w:val="lowerLetter"/>
      <w:lvlText w:val="%8."/>
      <w:lvlJc w:val="left"/>
      <w:pPr>
        <w:tabs>
          <w:tab w:val="num" w:pos="14331"/>
        </w:tabs>
        <w:ind w:left="14331" w:hanging="360"/>
      </w:pPr>
    </w:lvl>
    <w:lvl w:ilvl="8" w:tplc="0415001B" w:tentative="1">
      <w:start w:val="1"/>
      <w:numFmt w:val="lowerRoman"/>
      <w:lvlText w:val="%9."/>
      <w:lvlJc w:val="right"/>
      <w:pPr>
        <w:tabs>
          <w:tab w:val="num" w:pos="15051"/>
        </w:tabs>
        <w:ind w:left="15051" w:hanging="180"/>
      </w:pPr>
    </w:lvl>
  </w:abstractNum>
  <w:num w:numId="1" w16cid:durableId="1235550573">
    <w:abstractNumId w:val="1"/>
  </w:num>
  <w:num w:numId="2" w16cid:durableId="142503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13"/>
    <w:rsid w:val="000B21A1"/>
    <w:rsid w:val="000D7000"/>
    <w:rsid w:val="001A7690"/>
    <w:rsid w:val="003832FC"/>
    <w:rsid w:val="00415889"/>
    <w:rsid w:val="00635D13"/>
    <w:rsid w:val="00817E42"/>
    <w:rsid w:val="00873BD9"/>
    <w:rsid w:val="00A6036A"/>
    <w:rsid w:val="00A87538"/>
    <w:rsid w:val="00AF6529"/>
    <w:rsid w:val="00BC3731"/>
    <w:rsid w:val="00C95700"/>
    <w:rsid w:val="00D90AE0"/>
    <w:rsid w:val="00DC0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4CFE"/>
  <w15:chartTrackingRefBased/>
  <w15:docId w15:val="{50E62F93-75FA-4845-A899-2927C6B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5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35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35D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35D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35D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35D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5D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5D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5D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5D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35D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35D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35D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35D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35D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5D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5D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5D13"/>
    <w:rPr>
      <w:rFonts w:eastAsiaTheme="majorEastAsia" w:cstheme="majorBidi"/>
      <w:color w:val="272727" w:themeColor="text1" w:themeTint="D8"/>
    </w:rPr>
  </w:style>
  <w:style w:type="paragraph" w:styleId="Tytu">
    <w:name w:val="Title"/>
    <w:basedOn w:val="Normalny"/>
    <w:next w:val="Normalny"/>
    <w:link w:val="TytuZnak"/>
    <w:uiPriority w:val="10"/>
    <w:qFormat/>
    <w:rsid w:val="00635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5D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5D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5D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5D13"/>
    <w:pPr>
      <w:spacing w:before="160"/>
      <w:jc w:val="center"/>
    </w:pPr>
    <w:rPr>
      <w:i/>
      <w:iCs/>
      <w:color w:val="404040" w:themeColor="text1" w:themeTint="BF"/>
    </w:rPr>
  </w:style>
  <w:style w:type="character" w:customStyle="1" w:styleId="CytatZnak">
    <w:name w:val="Cytat Znak"/>
    <w:basedOn w:val="Domylnaczcionkaakapitu"/>
    <w:link w:val="Cytat"/>
    <w:uiPriority w:val="29"/>
    <w:rsid w:val="00635D13"/>
    <w:rPr>
      <w:i/>
      <w:iCs/>
      <w:color w:val="404040" w:themeColor="text1" w:themeTint="BF"/>
    </w:rPr>
  </w:style>
  <w:style w:type="paragraph" w:styleId="Akapitzlist">
    <w:name w:val="List Paragraph"/>
    <w:basedOn w:val="Normalny"/>
    <w:uiPriority w:val="34"/>
    <w:qFormat/>
    <w:rsid w:val="00635D13"/>
    <w:pPr>
      <w:ind w:left="720"/>
      <w:contextualSpacing/>
    </w:pPr>
  </w:style>
  <w:style w:type="character" w:styleId="Wyrnienieintensywne">
    <w:name w:val="Intense Emphasis"/>
    <w:basedOn w:val="Domylnaczcionkaakapitu"/>
    <w:uiPriority w:val="21"/>
    <w:qFormat/>
    <w:rsid w:val="00635D13"/>
    <w:rPr>
      <w:i/>
      <w:iCs/>
      <w:color w:val="0F4761" w:themeColor="accent1" w:themeShade="BF"/>
    </w:rPr>
  </w:style>
  <w:style w:type="paragraph" w:styleId="Cytatintensywny">
    <w:name w:val="Intense Quote"/>
    <w:basedOn w:val="Normalny"/>
    <w:next w:val="Normalny"/>
    <w:link w:val="CytatintensywnyZnak"/>
    <w:uiPriority w:val="30"/>
    <w:qFormat/>
    <w:rsid w:val="00635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35D13"/>
    <w:rPr>
      <w:i/>
      <w:iCs/>
      <w:color w:val="0F4761" w:themeColor="accent1" w:themeShade="BF"/>
    </w:rPr>
  </w:style>
  <w:style w:type="character" w:styleId="Odwoanieintensywne">
    <w:name w:val="Intense Reference"/>
    <w:basedOn w:val="Domylnaczcionkaakapitu"/>
    <w:uiPriority w:val="32"/>
    <w:qFormat/>
    <w:rsid w:val="00635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661</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Kania</dc:creator>
  <cp:keywords/>
  <dc:description/>
  <cp:lastModifiedBy>Maria Kania</cp:lastModifiedBy>
  <cp:revision>6</cp:revision>
  <cp:lastPrinted>2025-02-26T12:43:00Z</cp:lastPrinted>
  <dcterms:created xsi:type="dcterms:W3CDTF">2025-02-26T12:30:00Z</dcterms:created>
  <dcterms:modified xsi:type="dcterms:W3CDTF">2025-02-27T09:35:00Z</dcterms:modified>
</cp:coreProperties>
</file>